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D6" w:rsidRPr="00AA4A45" w:rsidRDefault="00AA4A45">
      <w:pPr>
        <w:rPr>
          <w:rFonts w:ascii="Times New Roman" w:hAnsi="Times New Roman" w:cs="Times New Roman"/>
          <w:bCs/>
          <w:color w:val="000000" w:themeColor="text1"/>
          <w:sz w:val="28"/>
          <w:szCs w:val="28"/>
          <w:shd w:val="clear" w:color="auto" w:fill="FFFFFF"/>
        </w:rPr>
      </w:pPr>
      <w:r w:rsidRPr="00AA4A45">
        <w:rPr>
          <w:rFonts w:ascii="Times New Roman" w:hAnsi="Times New Roman" w:cs="Times New Roman"/>
          <w:bCs/>
          <w:color w:val="000000" w:themeColor="text1"/>
          <w:sz w:val="28"/>
          <w:szCs w:val="28"/>
          <w:shd w:val="clear" w:color="auto" w:fill="FFFFFF"/>
        </w:rPr>
        <w:t>Может ли работодатель направить работника выполнять работу, не предусмотренную трудовым договором</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В силу статьи 60 Трудового кодекса Российской Федерации запрещается требовать от работника выполнения работы, не обусловленной трудовым договором.</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Исключения из данного правила возможны только в строго определённых законом случаях.</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К таковым, в частности, закон относит катастрофы природного или техногенного характера, производственные аварии, несчастные случаи на производстве, пожар, наводнение, голод, землетрясение, эпидемию или эпизоотию, а также любые исключительные случаи, ставящие под угрозу жизнь или нормальные жизненные условия всего населения или его части (ч. 2 ст. 72.2 ТК РФ).</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В этих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Такой перевод допускается также при простое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причины перевода должны быть вызваны чрезвычайными обстоятельствами, перечисленными в ч. 2 ст. 72.2 ТК РФ. Если выполняемая работа требует более низкой квалификации, то такой перевод допускается только с письменного согласия работника.</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Оплата труда работника производится по выполняемой работе, но не ниже среднего заработка по прежней работе.</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Необходимо отметить, что обязанность доказать наличие обстоятельств, с которыми закон связывает возможность такого перевода, возлагается на работодателя.</w:t>
      </w:r>
    </w:p>
    <w:p w:rsidR="00AA4A45" w:rsidRPr="00AA4A45" w:rsidRDefault="00AA4A45" w:rsidP="00AA4A45">
      <w:pPr>
        <w:pStyle w:val="a3"/>
        <w:shd w:val="clear" w:color="auto" w:fill="FFFFFF"/>
        <w:spacing w:before="0" w:beforeAutospacing="0"/>
        <w:jc w:val="both"/>
        <w:rPr>
          <w:color w:val="000000" w:themeColor="text1"/>
          <w:sz w:val="28"/>
          <w:szCs w:val="28"/>
        </w:rPr>
      </w:pPr>
      <w:r w:rsidRPr="00AA4A45">
        <w:rPr>
          <w:color w:val="000000" w:themeColor="text1"/>
          <w:sz w:val="28"/>
          <w:szCs w:val="28"/>
          <w:shd w:val="clear" w:color="auto" w:fill="FFFFFF"/>
        </w:rPr>
        <w:t>Отказ от выполнения работы при переводе, совершенном с соблюдением закона, признается нарушением трудовой дисциплины, а невыход на работу – прогулом.</w:t>
      </w:r>
    </w:p>
    <w:p w:rsidR="00AA4A45" w:rsidRPr="00AA4A45" w:rsidRDefault="00AA4A45">
      <w:pPr>
        <w:rPr>
          <w:rFonts w:ascii="Times New Roman" w:hAnsi="Times New Roman" w:cs="Times New Roman"/>
          <w:color w:val="000000" w:themeColor="text1"/>
          <w:sz w:val="28"/>
          <w:szCs w:val="28"/>
        </w:rPr>
      </w:pPr>
      <w:bookmarkStart w:id="0" w:name="_GoBack"/>
      <w:bookmarkEnd w:id="0"/>
    </w:p>
    <w:sectPr w:rsidR="00AA4A45" w:rsidRPr="00AA4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45"/>
    <w:rsid w:val="00221CC6"/>
    <w:rsid w:val="00AA4A45"/>
    <w:rsid w:val="00DD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5B6A"/>
  <w15:docId w15:val="{7F1BB495-08BC-46EA-9ABB-9591C76E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Харькова Анастасия Владимировна</cp:lastModifiedBy>
  <cp:revision>2</cp:revision>
  <dcterms:created xsi:type="dcterms:W3CDTF">2022-02-07T08:29:00Z</dcterms:created>
  <dcterms:modified xsi:type="dcterms:W3CDTF">2024-08-16T12:27:00Z</dcterms:modified>
</cp:coreProperties>
</file>