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дека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</w:rPr>
        <w:t xml:space="preserve">стоимости объектов недвижимости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78-10-70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15</cp:revision>
  <dcterms:created xsi:type="dcterms:W3CDTF">2023-04-17T06:27:00Z</dcterms:created>
  <dcterms:modified xsi:type="dcterms:W3CDTF">2025-11-24T07:22:51Z</dcterms:modified>
  <cp:version>983040</cp:version>
</cp:coreProperties>
</file>