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Ошибки и неточности в договоре купли-продажи могут стать причиной приостановки государственной регистрации» следующего содержания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Представьте: вы нашли покупателя на квартиру или, наоборот, выбрали жильё для покупки. Стороны договорились, подписали договор, сдали документы на регистрацию — и тут выясняется, что государственная регистрация приостановлена. Причинами чаще всего бывают ош</w:t>
      </w:r>
      <w:r>
        <w:rPr>
          <w:rFonts w:ascii="Segoe UI" w:hAnsi="Segoe UI" w:cs="Segoe UI"/>
        </w:rPr>
        <w:t xml:space="preserve">ибки и неточности в договоре купли-продажи. Разберёмся, почему так происходит и как этого избежать.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Бывает, что стороны сделки допускают ошибки в персональных данных сторон (опечатки в ФИО, паспортных данных, адресе регистрации), указывают неполные или неверные данные об объекте (расхождение площади, адреса или кадастрового номера с данными ЕГРН), некорре</w:t>
      </w:r>
      <w:r>
        <w:rPr>
          <w:rFonts w:ascii="Segoe UI" w:hAnsi="Segoe UI" w:cs="Segoe UI"/>
        </w:rPr>
        <w:t xml:space="preserve">ктно указывают цену (расхождение между цифрами и текстом), пропускают обязательные условия (сведения об обременениях, сохраняющих право пользования жилым помещением), допускают формальные недочёты (отсутствие даты подписания, подписей сторон) - всё это може</w:t>
      </w:r>
      <w:r>
        <w:rPr>
          <w:rFonts w:ascii="Segoe UI" w:hAnsi="Segoe UI" w:cs="Segoe UI"/>
        </w:rPr>
        <w:t xml:space="preserve">т сказаться на сроках предоставления государственной услуги.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Не торопитесь подписывать договор, даже если покупатель или продавец очень спешит, внимательно отнеситесь к составлению и заполнению документов.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78</cp:revision>
  <dcterms:created xsi:type="dcterms:W3CDTF">2023-06-13T09:29:00Z</dcterms:created>
  <dcterms:modified xsi:type="dcterms:W3CDTF">2025-12-09T06:48:33Z</dcterms:modified>
</cp:coreProperties>
</file>